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B35" w:rsidRDefault="00E53B35" w:rsidP="00315AE2">
      <w:pPr>
        <w:tabs>
          <w:tab w:val="center" w:pos="4536"/>
          <w:tab w:val="right" w:pos="8280"/>
          <w:tab w:val="right" w:pos="9639"/>
        </w:tabs>
        <w:ind w:left="1440" w:right="2" w:hanging="1440"/>
        <w:rPr>
          <w:rFonts w:ascii="Arial" w:eastAsia="Batang" w:hAnsi="Arial" w:cs="Arial"/>
          <w:b/>
          <w:bCs/>
          <w:szCs w:val="22"/>
        </w:rPr>
      </w:pPr>
    </w:p>
    <w:p w:rsidR="00315AE2" w:rsidRPr="00074926" w:rsidRDefault="00315AE2" w:rsidP="00315AE2">
      <w:pPr>
        <w:tabs>
          <w:tab w:val="center" w:pos="4536"/>
          <w:tab w:val="right" w:pos="8280"/>
          <w:tab w:val="right" w:pos="9639"/>
        </w:tabs>
        <w:ind w:left="1440" w:right="2" w:hanging="1440"/>
        <w:rPr>
          <w:rFonts w:ascii="Arial" w:eastAsia="Batang" w:hAnsi="Arial" w:cs="Arial"/>
          <w:b/>
          <w:bCs/>
          <w:szCs w:val="22"/>
        </w:rPr>
      </w:pPr>
      <w:r w:rsidRPr="00074926">
        <w:rPr>
          <w:rFonts w:ascii="Arial" w:eastAsia="Batang" w:hAnsi="Arial" w:cs="Arial"/>
          <w:b/>
          <w:bCs/>
          <w:szCs w:val="22"/>
        </w:rPr>
        <w:t>3GPP TSG RAN WG1 Meeting #9</w:t>
      </w:r>
      <w:r w:rsidR="006346E4">
        <w:rPr>
          <w:rFonts w:ascii="Arial" w:eastAsia="Batang" w:hAnsi="Arial" w:cs="Arial"/>
          <w:b/>
          <w:bCs/>
          <w:szCs w:val="22"/>
        </w:rPr>
        <w:t>5</w:t>
      </w:r>
      <w:r w:rsidRPr="00074926">
        <w:rPr>
          <w:rFonts w:ascii="Arial" w:eastAsia="Batang" w:hAnsi="Arial" w:cs="Arial"/>
          <w:b/>
          <w:bCs/>
          <w:szCs w:val="22"/>
        </w:rPr>
        <w:tab/>
      </w:r>
      <w:r w:rsidRPr="00074926">
        <w:rPr>
          <w:rFonts w:ascii="Arial" w:eastAsia="Batang" w:hAnsi="Arial" w:cs="Arial"/>
          <w:b/>
          <w:bCs/>
          <w:szCs w:val="22"/>
        </w:rPr>
        <w:tab/>
      </w:r>
      <w:r w:rsidRPr="00C07F9F">
        <w:rPr>
          <w:rFonts w:ascii="Arial" w:eastAsia="Batang" w:hAnsi="Arial" w:cs="Arial"/>
          <w:b/>
          <w:bCs/>
          <w:szCs w:val="22"/>
        </w:rPr>
        <w:t>R1-</w:t>
      </w:r>
      <w:r w:rsidR="00444281" w:rsidRPr="00C07F9F">
        <w:rPr>
          <w:rFonts w:ascii="Arial" w:eastAsia="Batang" w:hAnsi="Arial" w:cs="Arial"/>
          <w:b/>
          <w:bCs/>
          <w:szCs w:val="22"/>
        </w:rPr>
        <w:t>18</w:t>
      </w:r>
      <w:r w:rsidR="00444281" w:rsidRPr="00C07F9F">
        <w:rPr>
          <w:rFonts w:ascii="Arial" w:eastAsia="MS Mincho" w:hAnsi="Arial" w:cs="Arial"/>
          <w:b/>
          <w:bCs/>
          <w:szCs w:val="22"/>
          <w:lang w:eastAsia="ja-JP"/>
        </w:rPr>
        <w:t>1</w:t>
      </w:r>
      <w:r w:rsidR="006346E4">
        <w:rPr>
          <w:rFonts w:ascii="Arial" w:eastAsia="MS Mincho" w:hAnsi="Arial" w:cs="Arial"/>
          <w:b/>
          <w:bCs/>
          <w:szCs w:val="22"/>
          <w:lang w:eastAsia="ja-JP"/>
        </w:rPr>
        <w:t>275</w:t>
      </w:r>
      <w:r w:rsidR="004A3B2B">
        <w:rPr>
          <w:rFonts w:ascii="Arial" w:eastAsia="MS Mincho" w:hAnsi="Arial" w:cs="Arial"/>
          <w:b/>
          <w:bCs/>
          <w:szCs w:val="22"/>
          <w:lang w:eastAsia="ja-JP"/>
        </w:rPr>
        <w:t>7</w:t>
      </w:r>
    </w:p>
    <w:p w:rsidR="00315AE2" w:rsidRPr="00074926" w:rsidRDefault="006346E4" w:rsidP="00315AE2">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Spokane</w:t>
      </w:r>
      <w:r w:rsidR="00074926" w:rsidRPr="00074926">
        <w:rPr>
          <w:rFonts w:ascii="Arial" w:eastAsia="MS Mincho" w:hAnsi="Arial" w:cs="Arial"/>
          <w:b/>
          <w:bCs/>
          <w:szCs w:val="22"/>
          <w:lang w:eastAsia="ja-JP"/>
        </w:rPr>
        <w:t xml:space="preserve">, </w:t>
      </w:r>
      <w:r>
        <w:rPr>
          <w:rFonts w:ascii="Arial" w:eastAsia="MS Mincho" w:hAnsi="Arial" w:cs="Arial"/>
          <w:b/>
          <w:bCs/>
          <w:szCs w:val="22"/>
          <w:lang w:eastAsia="ja-JP"/>
        </w:rPr>
        <w:t>USA</w:t>
      </w:r>
      <w:r w:rsidR="00074926" w:rsidRPr="00074926">
        <w:rPr>
          <w:rFonts w:ascii="Arial" w:eastAsia="MS Mincho" w:hAnsi="Arial" w:cs="Arial"/>
          <w:b/>
          <w:bCs/>
          <w:szCs w:val="22"/>
          <w:lang w:eastAsia="ja-JP"/>
        </w:rPr>
        <w:t xml:space="preserve">, </w:t>
      </w:r>
      <w:r>
        <w:rPr>
          <w:rFonts w:ascii="Arial" w:eastAsia="MS Mincho" w:hAnsi="Arial" w:cs="Arial"/>
          <w:b/>
          <w:bCs/>
          <w:szCs w:val="22"/>
          <w:lang w:eastAsia="ja-JP"/>
        </w:rPr>
        <w:t>12-16 November</w:t>
      </w:r>
      <w:r w:rsidR="00315AE2" w:rsidRPr="00074926">
        <w:rPr>
          <w:rFonts w:ascii="Arial" w:eastAsia="MS Mincho" w:hAnsi="Arial" w:cs="Arial"/>
          <w:b/>
          <w:bCs/>
          <w:szCs w:val="22"/>
          <w:lang w:eastAsia="ja-JP"/>
        </w:rPr>
        <w:t xml:space="preserve"> 2018 </w:t>
      </w:r>
    </w:p>
    <w:p w:rsidR="00315AE2" w:rsidRDefault="00315AE2" w:rsidP="005C689D">
      <w:pPr>
        <w:pStyle w:val="CRCoverPage"/>
        <w:tabs>
          <w:tab w:val="right" w:pos="9639"/>
          <w:tab w:val="right" w:pos="13323"/>
        </w:tabs>
        <w:spacing w:after="0"/>
        <w:rPr>
          <w:rFonts w:cs="Arial"/>
          <w:b/>
          <w:sz w:val="24"/>
          <w:szCs w:val="24"/>
        </w:rPr>
      </w:pPr>
    </w:p>
    <w:p w:rsidR="00074926" w:rsidRPr="00074926" w:rsidRDefault="00074926" w:rsidP="00074926">
      <w:pPr>
        <w:tabs>
          <w:tab w:val="left" w:pos="1800"/>
        </w:tabs>
        <w:spacing w:after="60"/>
        <w:rPr>
          <w:rFonts w:eastAsia="MS Mincho"/>
          <w:b/>
          <w:lang w:val="en-US"/>
        </w:rPr>
      </w:pPr>
      <w:r w:rsidRPr="00074926">
        <w:rPr>
          <w:b/>
          <w:lang w:val="en-US"/>
        </w:rPr>
        <w:t>Agenda Item:</w:t>
      </w:r>
      <w:r w:rsidRPr="00074926">
        <w:rPr>
          <w:b/>
          <w:lang w:val="en-US"/>
        </w:rPr>
        <w:tab/>
      </w:r>
      <w:r w:rsidR="00444281" w:rsidRPr="00444281">
        <w:rPr>
          <w:b/>
          <w:lang w:val="en-US"/>
        </w:rPr>
        <w:t>6.2.1.</w:t>
      </w:r>
      <w:r w:rsidR="004A3B2B">
        <w:rPr>
          <w:b/>
          <w:lang w:val="en-US"/>
        </w:rPr>
        <w:t>6</w:t>
      </w:r>
    </w:p>
    <w:p w:rsidR="00074926" w:rsidRPr="00074926" w:rsidRDefault="00074926" w:rsidP="00074926">
      <w:pPr>
        <w:tabs>
          <w:tab w:val="left" w:pos="1800"/>
        </w:tabs>
        <w:spacing w:after="60"/>
        <w:rPr>
          <w:b/>
          <w:lang w:val="en-US"/>
        </w:rPr>
      </w:pPr>
      <w:r w:rsidRPr="00074926">
        <w:rPr>
          <w:b/>
          <w:lang w:val="en-US"/>
        </w:rPr>
        <w:t xml:space="preserve">Source: </w:t>
      </w:r>
      <w:r w:rsidRPr="00074926">
        <w:rPr>
          <w:b/>
          <w:lang w:val="en-US"/>
        </w:rPr>
        <w:tab/>
        <w:t xml:space="preserve">Sony </w:t>
      </w:r>
    </w:p>
    <w:p w:rsidR="00074926" w:rsidRPr="00074926" w:rsidRDefault="00074926" w:rsidP="00074926">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4A3B2B" w:rsidRPr="004A3B2B">
        <w:rPr>
          <w:b/>
          <w:color w:val="000000"/>
          <w:lang w:val="en-US"/>
        </w:rPr>
        <w:t>DMRS to CRS relationship for MPDCCH performance improvement</w:t>
      </w:r>
      <w:r w:rsidR="00444281" w:rsidRPr="00444281" w:rsidDel="00444281">
        <w:rPr>
          <w:b/>
          <w:color w:val="000000"/>
          <w:lang w:val="en-US"/>
        </w:rPr>
        <w:t xml:space="preserve"> </w:t>
      </w:r>
    </w:p>
    <w:p w:rsidR="00074926" w:rsidRPr="00074926" w:rsidRDefault="00074926" w:rsidP="00074926">
      <w:pPr>
        <w:tabs>
          <w:tab w:val="left" w:pos="1800"/>
        </w:tabs>
        <w:spacing w:after="60"/>
        <w:rPr>
          <w:b/>
        </w:rPr>
      </w:pPr>
      <w:r w:rsidRPr="00074926">
        <w:rPr>
          <w:b/>
        </w:rPr>
        <w:t>Document for:</w:t>
      </w:r>
      <w:r w:rsidRPr="00074926">
        <w:rPr>
          <w:b/>
        </w:rPr>
        <w:tab/>
        <w:t>Discussion / decision</w:t>
      </w:r>
    </w:p>
    <w:p w:rsidR="00074926" w:rsidRDefault="00074926" w:rsidP="00074926">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446058" w:rsidRDefault="00446058" w:rsidP="00446058">
      <w:pPr>
        <w:jc w:val="both"/>
        <w:rPr>
          <w:rFonts w:eastAsia="MS Mincho"/>
          <w:lang w:val="en-US"/>
        </w:rPr>
      </w:pPr>
      <w:r>
        <w:rPr>
          <w:rFonts w:eastAsia="MS Mincho"/>
          <w:lang w:val="en-US"/>
        </w:rPr>
        <w:t>The Release-16 WID on additional enhancements for eMTC was approved in RAN#80. The WID included the following objectives:</w:t>
      </w:r>
    </w:p>
    <w:p w:rsidR="004A3B2B" w:rsidRPr="005F1E24" w:rsidRDefault="004A3B2B" w:rsidP="004A3B2B">
      <w:pPr>
        <w:spacing w:after="0"/>
        <w:rPr>
          <w:b/>
          <w:bCs/>
          <w:sz w:val="20"/>
        </w:rPr>
      </w:pPr>
      <w:r w:rsidRPr="005F1E24">
        <w:rPr>
          <w:b/>
          <w:bCs/>
          <w:sz w:val="20"/>
        </w:rPr>
        <w:t>Improved DL transmission efficiency and/or UE power consumption:</w:t>
      </w:r>
    </w:p>
    <w:p w:rsidR="004A3B2B" w:rsidRPr="005F1E24" w:rsidRDefault="004A3B2B" w:rsidP="004A3B2B">
      <w:pPr>
        <w:numPr>
          <w:ilvl w:val="0"/>
          <w:numId w:val="28"/>
        </w:numPr>
        <w:overflowPunct w:val="0"/>
        <w:autoSpaceDE w:val="0"/>
        <w:autoSpaceDN w:val="0"/>
        <w:adjustRightInd w:val="0"/>
        <w:spacing w:after="0"/>
        <w:textAlignment w:val="baseline"/>
        <w:rPr>
          <w:bCs/>
          <w:sz w:val="20"/>
        </w:rPr>
      </w:pPr>
      <w:r w:rsidRPr="005F1E24">
        <w:rPr>
          <w:bCs/>
          <w:sz w:val="20"/>
        </w:rPr>
        <w:t>Specify support for mobile-terminated (MT) early data transmission (EDT) [RAN2, RAN3]</w:t>
      </w:r>
    </w:p>
    <w:p w:rsidR="004A3B2B" w:rsidRPr="005F1E24" w:rsidRDefault="004A3B2B" w:rsidP="004A3B2B">
      <w:pPr>
        <w:numPr>
          <w:ilvl w:val="0"/>
          <w:numId w:val="28"/>
        </w:numPr>
        <w:overflowPunct w:val="0"/>
        <w:autoSpaceDE w:val="0"/>
        <w:autoSpaceDN w:val="0"/>
        <w:adjustRightInd w:val="0"/>
        <w:spacing w:after="0"/>
        <w:textAlignment w:val="baseline"/>
        <w:rPr>
          <w:bCs/>
          <w:sz w:val="20"/>
        </w:rPr>
      </w:pPr>
      <w:bookmarkStart w:id="2" w:name="_Hlk515907705"/>
      <w:r w:rsidRPr="005F1E24">
        <w:rPr>
          <w:bCs/>
          <w:sz w:val="20"/>
        </w:rPr>
        <w:t>Specify quality report in MSG3 at least for EDT [RAN1, RAN2]</w:t>
      </w:r>
    </w:p>
    <w:bookmarkEnd w:id="2"/>
    <w:p w:rsidR="004A3B2B" w:rsidRPr="005F1E24" w:rsidRDefault="004A3B2B" w:rsidP="004A3B2B">
      <w:pPr>
        <w:numPr>
          <w:ilvl w:val="0"/>
          <w:numId w:val="28"/>
        </w:numPr>
        <w:overflowPunct w:val="0"/>
        <w:autoSpaceDE w:val="0"/>
        <w:autoSpaceDN w:val="0"/>
        <w:adjustRightInd w:val="0"/>
        <w:spacing w:after="0"/>
        <w:textAlignment w:val="baseline"/>
        <w:rPr>
          <w:bCs/>
          <w:sz w:val="20"/>
        </w:rPr>
      </w:pPr>
      <w:r w:rsidRPr="005F1E24">
        <w:rPr>
          <w:bCs/>
          <w:sz w:val="20"/>
        </w:rPr>
        <w:t>Specify MPDCCH performance improvement by using CRS at least for connected mode [RAN1, RAN2, RAN4]</w:t>
      </w:r>
    </w:p>
    <w:p w:rsidR="004A3B2B" w:rsidRPr="005F1E24" w:rsidRDefault="004A3B2B" w:rsidP="004A3B2B">
      <w:pPr>
        <w:numPr>
          <w:ilvl w:val="0"/>
          <w:numId w:val="28"/>
        </w:numPr>
        <w:overflowPunct w:val="0"/>
        <w:autoSpaceDE w:val="0"/>
        <w:autoSpaceDN w:val="0"/>
        <w:adjustRightInd w:val="0"/>
        <w:spacing w:after="0"/>
        <w:textAlignment w:val="baseline"/>
        <w:rPr>
          <w:bCs/>
          <w:sz w:val="20"/>
        </w:rPr>
      </w:pPr>
      <w:r w:rsidRPr="005F1E24">
        <w:rPr>
          <w:bCs/>
          <w:sz w:val="20"/>
        </w:rPr>
        <w:t>Specify support for UE-group wake-up signal (WUS) [RAN1, RAN2, RAN4]</w:t>
      </w:r>
    </w:p>
    <w:p w:rsidR="00446058" w:rsidRDefault="00446058" w:rsidP="00446058">
      <w:pPr>
        <w:numPr>
          <w:ilvl w:val="1"/>
          <w:numId w:val="28"/>
        </w:numPr>
        <w:overflowPunct w:val="0"/>
        <w:autoSpaceDE w:val="0"/>
        <w:autoSpaceDN w:val="0"/>
        <w:adjustRightInd w:val="0"/>
        <w:spacing w:after="180"/>
        <w:textAlignment w:val="baseline"/>
        <w:rPr>
          <w:bCs/>
        </w:rPr>
      </w:pPr>
    </w:p>
    <w:p w:rsidR="00446058" w:rsidRDefault="006346E4" w:rsidP="00446058">
      <w:pPr>
        <w:rPr>
          <w:lang w:eastAsia="x-none"/>
        </w:rPr>
      </w:pPr>
      <w:r>
        <w:rPr>
          <w:lang w:eastAsia="x-none"/>
        </w:rPr>
        <w:t>The following agreements that are relevant to this document were made at RAN1#94bis in Chengdu:</w:t>
      </w:r>
    </w:p>
    <w:p w:rsidR="004A3B2B" w:rsidRPr="00543E15" w:rsidRDefault="004A3B2B" w:rsidP="004A3B2B">
      <w:pPr>
        <w:rPr>
          <w:b/>
          <w:highlight w:val="green"/>
          <w:lang w:eastAsia="x-none"/>
        </w:rPr>
      </w:pPr>
      <w:r w:rsidRPr="00543E15">
        <w:rPr>
          <w:b/>
          <w:highlight w:val="green"/>
          <w:lang w:eastAsia="x-none"/>
        </w:rPr>
        <w:t>Agreement</w:t>
      </w:r>
    </w:p>
    <w:p w:rsidR="004A3B2B" w:rsidRPr="00FC4860" w:rsidRDefault="004A3B2B" w:rsidP="004A3B2B">
      <w:r w:rsidRPr="00FC4860">
        <w:rPr>
          <w:lang w:eastAsia="zh-CN"/>
        </w:rPr>
        <w:t>CRS for improving channel estimation on MPDCCH in idle mode</w:t>
      </w:r>
      <w:r w:rsidRPr="00FC4860">
        <w:t xml:space="preserve"> is supported. FFS the details.</w:t>
      </w:r>
    </w:p>
    <w:p w:rsidR="004A3B2B" w:rsidRDefault="004A3B2B" w:rsidP="004A3B2B">
      <w:pPr>
        <w:rPr>
          <w:lang w:eastAsia="x-none"/>
        </w:rPr>
      </w:pPr>
    </w:p>
    <w:p w:rsidR="004A3B2B" w:rsidRPr="00E73C3F" w:rsidRDefault="004A3B2B" w:rsidP="004A3B2B">
      <w:pPr>
        <w:rPr>
          <w:b/>
          <w:iCs/>
          <w:highlight w:val="green"/>
        </w:rPr>
      </w:pPr>
      <w:r w:rsidRPr="00E73C3F">
        <w:rPr>
          <w:b/>
          <w:iCs/>
          <w:highlight w:val="green"/>
        </w:rPr>
        <w:t xml:space="preserve">Agreement </w:t>
      </w:r>
    </w:p>
    <w:p w:rsidR="004A3B2B" w:rsidRPr="00E73C3F" w:rsidRDefault="004A3B2B" w:rsidP="004A3B2B">
      <w:r w:rsidRPr="00E73C3F">
        <w:rPr>
          <w:rFonts w:hint="eastAsia"/>
          <w:iCs/>
        </w:rPr>
        <w:t>For localized MPDCCH, the following mappings are supported between CRS and DMRS:</w:t>
      </w:r>
    </w:p>
    <w:p w:rsidR="004A3B2B" w:rsidRPr="00AB300D" w:rsidRDefault="004A3B2B" w:rsidP="004A3B2B">
      <w:pPr>
        <w:numPr>
          <w:ilvl w:val="0"/>
          <w:numId w:val="39"/>
        </w:numPr>
        <w:spacing w:after="0"/>
        <w:rPr>
          <w:rFonts w:cs="Arial"/>
          <w:lang w:val="en-US"/>
        </w:rPr>
      </w:pPr>
      <w:r w:rsidRPr="00AB300D">
        <w:rPr>
          <w:rFonts w:cs="Arial" w:hint="eastAsia"/>
          <w:lang w:val="en-US"/>
        </w:rPr>
        <w:t>Predefined mapping</w:t>
      </w:r>
    </w:p>
    <w:p w:rsidR="004A3B2B" w:rsidRPr="00AB300D" w:rsidRDefault="004A3B2B" w:rsidP="004A3B2B">
      <w:pPr>
        <w:numPr>
          <w:ilvl w:val="0"/>
          <w:numId w:val="39"/>
        </w:numPr>
        <w:spacing w:after="0"/>
        <w:rPr>
          <w:rFonts w:cs="Arial"/>
          <w:lang w:val="en-US"/>
        </w:rPr>
      </w:pPr>
      <w:r w:rsidRPr="00AB300D">
        <w:rPr>
          <w:rFonts w:cs="Arial" w:hint="eastAsia"/>
          <w:lang w:val="en-US"/>
        </w:rPr>
        <w:t>Mapping based on CSI report</w:t>
      </w:r>
    </w:p>
    <w:p w:rsidR="004A3B2B" w:rsidRPr="00E73C3F" w:rsidRDefault="004A3B2B" w:rsidP="004A3B2B">
      <w:r w:rsidRPr="00E73C3F">
        <w:rPr>
          <w:rFonts w:hint="eastAsia"/>
          <w:iCs/>
        </w:rPr>
        <w:t>FFS the details.</w:t>
      </w:r>
    </w:p>
    <w:p w:rsidR="004A3B2B" w:rsidRPr="00543E15" w:rsidRDefault="004A3B2B" w:rsidP="004A3B2B">
      <w:pPr>
        <w:rPr>
          <w:lang w:eastAsia="x-none"/>
        </w:rPr>
      </w:pPr>
    </w:p>
    <w:p w:rsidR="004A3B2B" w:rsidRPr="00543E15" w:rsidRDefault="004A3B2B" w:rsidP="004A3B2B">
      <w:pPr>
        <w:rPr>
          <w:b/>
          <w:highlight w:val="green"/>
        </w:rPr>
      </w:pPr>
      <w:r w:rsidRPr="00543E15">
        <w:rPr>
          <w:b/>
          <w:highlight w:val="green"/>
        </w:rPr>
        <w:t>Agreement</w:t>
      </w:r>
    </w:p>
    <w:p w:rsidR="004A3B2B" w:rsidRPr="00543E15" w:rsidRDefault="004A3B2B" w:rsidP="004A3B2B">
      <w:r w:rsidRPr="00543E15">
        <w:t xml:space="preserve">For distributed MPDCCH, mapping between CRS and DMRS is defined in specifications. </w:t>
      </w:r>
    </w:p>
    <w:p w:rsidR="004A3B2B" w:rsidRPr="00AB300D" w:rsidRDefault="004A3B2B" w:rsidP="004A3B2B">
      <w:pPr>
        <w:numPr>
          <w:ilvl w:val="0"/>
          <w:numId w:val="39"/>
        </w:numPr>
        <w:spacing w:after="0"/>
        <w:rPr>
          <w:rFonts w:cs="Arial"/>
          <w:lang w:val="en-US"/>
        </w:rPr>
      </w:pPr>
      <w:r w:rsidRPr="00AB300D">
        <w:rPr>
          <w:rFonts w:cs="Arial"/>
          <w:lang w:val="en-US"/>
        </w:rPr>
        <w:t>FFS the details (e.g. number of PRBs over which mapping applies, fixed or configurable)</w:t>
      </w:r>
    </w:p>
    <w:p w:rsidR="004A3B2B" w:rsidRPr="00543E15" w:rsidRDefault="004A3B2B" w:rsidP="004A3B2B">
      <w:pPr>
        <w:rPr>
          <w:lang w:eastAsia="x-none"/>
        </w:rPr>
      </w:pPr>
    </w:p>
    <w:p w:rsidR="004A3B2B" w:rsidRPr="00543E15" w:rsidRDefault="004A3B2B" w:rsidP="004A3B2B">
      <w:pPr>
        <w:rPr>
          <w:b/>
          <w:highlight w:val="green"/>
          <w:lang w:eastAsia="x-none"/>
        </w:rPr>
      </w:pPr>
      <w:r w:rsidRPr="00543E15">
        <w:rPr>
          <w:b/>
          <w:highlight w:val="green"/>
          <w:lang w:eastAsia="x-none"/>
        </w:rPr>
        <w:t>Agreement</w:t>
      </w:r>
    </w:p>
    <w:p w:rsidR="00634CB1" w:rsidRDefault="004A3B2B" w:rsidP="004A3B2B">
      <w:pPr>
        <w:rPr>
          <w:rFonts w:eastAsia="MS Mincho"/>
          <w:lang w:val="en-US"/>
        </w:rPr>
      </w:pPr>
      <w:r w:rsidRPr="00543E15">
        <w:t>Power offset between CRS and DMRS antenna ports of MPDCCH is signaled by eNB. FFS the signaling details (e.g. provisioning for default power offset value).</w:t>
      </w:r>
    </w:p>
    <w:p w:rsidR="006346E4" w:rsidRDefault="006346E4" w:rsidP="004A3B2B">
      <w:pPr>
        <w:rPr>
          <w:rFonts w:eastAsia="MS Mincho"/>
          <w:lang w:val="en-US"/>
        </w:rPr>
      </w:pPr>
      <w:r>
        <w:rPr>
          <w:rFonts w:eastAsia="MS Mincho"/>
          <w:lang w:val="en-US"/>
        </w:rPr>
        <w:t xml:space="preserve">This document considers the </w:t>
      </w:r>
      <w:r w:rsidR="004A3B2B">
        <w:rPr>
          <w:rFonts w:eastAsia="MS Mincho"/>
          <w:lang w:val="en-US"/>
        </w:rPr>
        <w:t>issue of</w:t>
      </w:r>
      <w:bookmarkStart w:id="3" w:name="_GoBack"/>
      <w:bookmarkEnd w:id="3"/>
      <w:r w:rsidR="004A3B2B">
        <w:rPr>
          <w:rFonts w:eastAsia="MS Mincho"/>
          <w:lang w:val="en-US"/>
        </w:rPr>
        <w:t xml:space="preserve"> the frequency domain extent over which the DMRS to CRS mapping applies, proposing that this mapping allows PRB bundling to be supported</w:t>
      </w:r>
      <w:r>
        <w:rPr>
          <w:rFonts w:eastAsia="MS Mincho"/>
          <w:lang w:val="en-US"/>
        </w:rPr>
        <w:t xml:space="preserve">. </w:t>
      </w:r>
    </w:p>
    <w:p w:rsidR="007B5EC5" w:rsidRDefault="004A3B2B" w:rsidP="007B5EC5">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Frequency domain extent of DMRS to CRS mapping</w:t>
      </w:r>
    </w:p>
    <w:p w:rsidR="004A3B2B" w:rsidRDefault="004A3B2B" w:rsidP="00AD253E">
      <w:pPr>
        <w:rPr>
          <w:lang w:val="en-US"/>
        </w:rPr>
      </w:pPr>
    </w:p>
    <w:p w:rsidR="004A3B2B" w:rsidRDefault="004A3B2B" w:rsidP="004A3B2B">
      <w:pPr>
        <w:rPr>
          <w:lang w:val="en-US"/>
        </w:rPr>
      </w:pPr>
      <w:r>
        <w:rPr>
          <w:lang w:val="en-US"/>
        </w:rPr>
        <w:lastRenderedPageBreak/>
        <w:t>It has been agreed that</w:t>
      </w:r>
      <w:r>
        <w:rPr>
          <w:lang w:val="en-US"/>
        </w:rPr>
        <w:t xml:space="preserve"> there </w:t>
      </w:r>
      <w:r>
        <w:rPr>
          <w:lang w:val="en-US"/>
        </w:rPr>
        <w:t>will be</w:t>
      </w:r>
      <w:r>
        <w:rPr>
          <w:lang w:val="en-US"/>
        </w:rPr>
        <w:t xml:space="preserve"> a definition of the relationship between the MPDCCH DMRS and CRS. This definition will presumably include some specification of the weight vector that is applied to CRS to correspond to the beamforming weight vectors applied to the MPDCCH DMRS.</w:t>
      </w:r>
    </w:p>
    <w:p w:rsidR="004A3B2B" w:rsidRDefault="004A3B2B" w:rsidP="004A3B2B">
      <w:pPr>
        <w:rPr>
          <w:lang w:val="en-US"/>
        </w:rPr>
      </w:pPr>
      <w:r>
        <w:rPr>
          <w:lang w:val="en-US"/>
        </w:rPr>
        <w:t>In the Rel-13 eMTC work, most of the companies that simulated MPDCCH performance observed a performance gain when PRB bundling was applied to the MPDCCH, especially in a flat-fading channel such as EPA (example results from [</w:t>
      </w:r>
      <w:r>
        <w:rPr>
          <w:lang w:val="en-US"/>
        </w:rPr>
        <w:t>2</w:t>
      </w:r>
      <w:r>
        <w:rPr>
          <w:lang w:val="en-US"/>
        </w:rPr>
        <w:t xml:space="preserve">] are shown in </w:t>
      </w:r>
      <w:r>
        <w:rPr>
          <w:lang w:val="en-US"/>
        </w:rPr>
        <w:fldChar w:fldCharType="begin"/>
      </w:r>
      <w:r>
        <w:rPr>
          <w:lang w:val="en-US"/>
        </w:rPr>
        <w:instrText xml:space="preserve"> REF _Ref525943251 \h </w:instrText>
      </w:r>
      <w:r>
        <w:rPr>
          <w:lang w:val="en-US"/>
        </w:rPr>
      </w:r>
      <w:r>
        <w:rPr>
          <w:lang w:val="en-US"/>
        </w:rPr>
        <w:fldChar w:fldCharType="separate"/>
      </w:r>
      <w:r>
        <w:t xml:space="preserve">Figure </w:t>
      </w:r>
      <w:r>
        <w:rPr>
          <w:noProof/>
        </w:rPr>
        <w:t>1</w:t>
      </w:r>
      <w:r>
        <w:rPr>
          <w:lang w:val="en-US"/>
        </w:rPr>
        <w:fldChar w:fldCharType="end"/>
      </w:r>
      <w:r>
        <w:rPr>
          <w:lang w:val="en-US"/>
        </w:rPr>
        <w:t>. The simulations assumptions are detailed in [</w:t>
      </w:r>
      <w:r>
        <w:rPr>
          <w:lang w:val="en-US"/>
        </w:rPr>
        <w:t>2</w:t>
      </w:r>
      <w:r>
        <w:rPr>
          <w:lang w:val="en-US"/>
        </w:rPr>
        <w:t>]). This PRB bundling allowed for improvement in channel estimation performance, in the same way that cross-subframe channel estimation provides a performance improvement.</w:t>
      </w:r>
    </w:p>
    <w:p w:rsidR="004A3B2B" w:rsidRDefault="004A3B2B" w:rsidP="004A3B2B">
      <w:pPr>
        <w:rPr>
          <w:noProof/>
          <w:lang w:eastAsia="ja-JP"/>
        </w:rPr>
      </w:pPr>
      <w:r w:rsidRPr="0092733B">
        <w:rPr>
          <w:noProof/>
          <w:lang w:eastAsia="ja-JP"/>
        </w:rPr>
        <w:drawing>
          <wp:inline distT="0" distB="0" distL="0" distR="0">
            <wp:extent cx="5715000" cy="381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4A3B2B" w:rsidRDefault="004A3B2B" w:rsidP="004A3B2B">
      <w:pPr>
        <w:pStyle w:val="Caption"/>
        <w:jc w:val="center"/>
        <w:rPr>
          <w:lang w:val="en-US"/>
        </w:rPr>
      </w:pPr>
      <w:bookmarkStart w:id="4" w:name="_Ref525943251"/>
      <w:r>
        <w:t xml:space="preserve">Figure </w:t>
      </w:r>
      <w:r>
        <w:fldChar w:fldCharType="begin"/>
      </w:r>
      <w:r>
        <w:instrText xml:space="preserve"> SEQ Figure \* ARABIC </w:instrText>
      </w:r>
      <w:r>
        <w:fldChar w:fldCharType="separate"/>
      </w:r>
      <w:r>
        <w:rPr>
          <w:noProof/>
        </w:rPr>
        <w:t>1</w:t>
      </w:r>
      <w:r>
        <w:fldChar w:fldCharType="end"/>
      </w:r>
      <w:bookmarkEnd w:id="4"/>
      <w:r>
        <w:t xml:space="preserve"> – MPDCCH performance gain from cross-PRB channel estimation in EPA at REP64</w:t>
      </w:r>
    </w:p>
    <w:p w:rsidR="004A3B2B" w:rsidRDefault="004A3B2B" w:rsidP="004A3B2B">
      <w:pPr>
        <w:rPr>
          <w:lang w:val="en-US"/>
        </w:rPr>
      </w:pPr>
      <w:r>
        <w:rPr>
          <w:lang w:val="en-US"/>
        </w:rPr>
        <w:t>The definition of the relationship between the MPDCCH DMRS and CRS should allow for PRB bundling. The relationship between MPDCCH DMRS and CRS should not be fixed across the whole narrowband (this reduces random beamforming diversity), but should be consistent across a sufficient number of PRBs to allow for cross-PRB channel estimation.</w:t>
      </w:r>
    </w:p>
    <w:p w:rsidR="004A3B2B" w:rsidRDefault="004A3B2B" w:rsidP="004A3B2B">
      <w:pPr>
        <w:rPr>
          <w:lang w:val="en-US"/>
        </w:rPr>
      </w:pPr>
      <w:r w:rsidRPr="005F7A58">
        <w:rPr>
          <w:b/>
          <w:lang w:val="en-US"/>
        </w:rPr>
        <w:t>Proposal</w:t>
      </w:r>
      <w:r>
        <w:rPr>
          <w:b/>
          <w:lang w:val="en-US"/>
        </w:rPr>
        <w:t xml:space="preserve"> 1</w:t>
      </w:r>
      <w:r w:rsidRPr="005F7A58">
        <w:rPr>
          <w:b/>
          <w:lang w:val="en-US"/>
        </w:rPr>
        <w:t>: the definition of the relationship between MPDCCH DMRS and CRS should allow for PRB bundling</w:t>
      </w:r>
      <w:r>
        <w:rPr>
          <w:lang w:val="en-US"/>
        </w:rPr>
        <w:t xml:space="preserve">. </w:t>
      </w:r>
    </w:p>
    <w:p w:rsidR="00271D28" w:rsidRDefault="00444281" w:rsidP="00271D2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rsidR="004A3B2B" w:rsidRDefault="004A3B2B" w:rsidP="004A3B2B">
      <w:r>
        <w:t>This document has considered MPDCCH performance improvement for MTC in Rel-16 and makes the following proposals:</w:t>
      </w:r>
    </w:p>
    <w:p w:rsidR="004A3B2B" w:rsidRDefault="004A3B2B" w:rsidP="004A3B2B">
      <w:pPr>
        <w:rPr>
          <w:bCs/>
          <w:noProof/>
          <w:lang w:val="en-US" w:eastAsia="en-GB"/>
        </w:rPr>
      </w:pPr>
      <w:r w:rsidRPr="005F7A58">
        <w:rPr>
          <w:b/>
          <w:lang w:val="en-US"/>
        </w:rPr>
        <w:t>Proposal</w:t>
      </w:r>
      <w:r>
        <w:rPr>
          <w:b/>
          <w:lang w:val="en-US"/>
        </w:rPr>
        <w:t xml:space="preserve"> 1</w:t>
      </w:r>
      <w:r w:rsidRPr="005F7A58">
        <w:rPr>
          <w:b/>
          <w:lang w:val="en-US"/>
        </w:rPr>
        <w:t>: the definition of the relationship between MPDCCH DMRS and CRS should allow for PRB bundling</w:t>
      </w:r>
      <w:r>
        <w:rPr>
          <w:lang w:val="en-US"/>
        </w:rPr>
        <w:t>.</w:t>
      </w:r>
    </w:p>
    <w:p w:rsidR="00CB1FC8" w:rsidRDefault="00CB1FC8" w:rsidP="00CB1FC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4A3B2B" w:rsidRDefault="004A3B2B" w:rsidP="004A3B2B">
      <w:pPr>
        <w:tabs>
          <w:tab w:val="left" w:pos="426"/>
        </w:tabs>
      </w:pPr>
    </w:p>
    <w:p w:rsidR="004A3B2B" w:rsidRDefault="004A3B2B" w:rsidP="004A3B2B">
      <w:pPr>
        <w:tabs>
          <w:tab w:val="left" w:pos="426"/>
        </w:tabs>
        <w:ind w:left="426" w:hanging="426"/>
      </w:pPr>
      <w:r w:rsidRPr="002B6F16">
        <w:lastRenderedPageBreak/>
        <w:t xml:space="preserve">[1] </w:t>
      </w:r>
      <w:r>
        <w:tab/>
      </w:r>
      <w:r w:rsidRPr="00444281">
        <w:t>RP-181450, “New WID on Rel-16 MTC enhancements for LTE”, Ericsson. RAN#80. La Jolla, USA, 11-14 June 2018</w:t>
      </w:r>
      <w:r>
        <w:t>.</w:t>
      </w:r>
    </w:p>
    <w:p w:rsidR="004A3B2B" w:rsidRPr="002B6F16" w:rsidRDefault="004A3B2B" w:rsidP="004A3B2B">
      <w:pPr>
        <w:tabs>
          <w:tab w:val="left" w:pos="426"/>
        </w:tabs>
        <w:ind w:left="426" w:hanging="426"/>
      </w:pPr>
      <w:r>
        <w:t>[</w:t>
      </w:r>
      <w:r>
        <w:t>2</w:t>
      </w:r>
      <w:r>
        <w:t>]</w:t>
      </w:r>
      <w:r>
        <w:tab/>
        <w:t>R1-153083. “Performance of MPDCCH with frequency offset”. Sony. RAN1#81. Fukuoka, Japan. May 2015.</w:t>
      </w:r>
    </w:p>
    <w:p w:rsidR="0046012B" w:rsidRPr="0046012B" w:rsidRDefault="0046012B" w:rsidP="00F401B1">
      <w:pPr>
        <w:pStyle w:val="ListParagraph"/>
        <w:spacing w:after="180"/>
        <w:ind w:leftChars="0" w:left="0" w:firstLine="0"/>
      </w:pPr>
    </w:p>
    <w:p w:rsidR="00612213" w:rsidRPr="002B6F16" w:rsidRDefault="00612213" w:rsidP="00323A5B">
      <w:pPr>
        <w:tabs>
          <w:tab w:val="left" w:pos="360"/>
        </w:tabs>
        <w:overflowPunct w:val="0"/>
        <w:autoSpaceDE w:val="0"/>
        <w:autoSpaceDN w:val="0"/>
        <w:adjustRightInd w:val="0"/>
        <w:spacing w:after="120"/>
        <w:jc w:val="both"/>
        <w:textAlignment w:val="baseline"/>
        <w:rPr>
          <w:lang w:val="en-US"/>
        </w:rPr>
      </w:pPr>
    </w:p>
    <w:p w:rsidR="00271D28" w:rsidRDefault="00271D28" w:rsidP="007B5EC5"/>
    <w:sectPr w:rsidR="00271D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CDA" w:rsidRDefault="00295CDA">
      <w:r>
        <w:separator/>
      </w:r>
    </w:p>
  </w:endnote>
  <w:endnote w:type="continuationSeparator" w:id="0">
    <w:p w:rsidR="00295CDA" w:rsidRDefault="0029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CDA" w:rsidRDefault="00295CDA">
      <w:r>
        <w:separator/>
      </w:r>
    </w:p>
  </w:footnote>
  <w:footnote w:type="continuationSeparator" w:id="0">
    <w:p w:rsidR="00295CDA" w:rsidRDefault="00295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737D5D"/>
    <w:multiLevelType w:val="hybridMultilevel"/>
    <w:tmpl w:val="3C2CE15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86600C"/>
    <w:multiLevelType w:val="hybridMultilevel"/>
    <w:tmpl w:val="F778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376DB4"/>
    <w:multiLevelType w:val="hybridMultilevel"/>
    <w:tmpl w:val="BC848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938D2"/>
    <w:multiLevelType w:val="hybridMultilevel"/>
    <w:tmpl w:val="5512F130"/>
    <w:lvl w:ilvl="0" w:tplc="1A241C56">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633EDF"/>
    <w:multiLevelType w:val="hybridMultilevel"/>
    <w:tmpl w:val="682CD9A8"/>
    <w:lvl w:ilvl="0" w:tplc="04090001">
      <w:start w:val="1"/>
      <w:numFmt w:val="bullet"/>
      <w:lvlText w:val=""/>
      <w:lvlJc w:val="left"/>
      <w:pPr>
        <w:ind w:left="5301" w:hanging="360"/>
      </w:pPr>
      <w:rPr>
        <w:rFonts w:ascii="Symbol" w:hAnsi="Symbol" w:hint="default"/>
      </w:rPr>
    </w:lvl>
    <w:lvl w:ilvl="1" w:tplc="04090003" w:tentative="1">
      <w:start w:val="1"/>
      <w:numFmt w:val="bullet"/>
      <w:lvlText w:val="o"/>
      <w:lvlJc w:val="left"/>
      <w:pPr>
        <w:ind w:left="6021" w:hanging="360"/>
      </w:pPr>
      <w:rPr>
        <w:rFonts w:ascii="Courier New" w:hAnsi="Courier New" w:cs="Courier New" w:hint="default"/>
      </w:rPr>
    </w:lvl>
    <w:lvl w:ilvl="2" w:tplc="04090005" w:tentative="1">
      <w:start w:val="1"/>
      <w:numFmt w:val="bullet"/>
      <w:lvlText w:val=""/>
      <w:lvlJc w:val="left"/>
      <w:pPr>
        <w:ind w:left="6741" w:hanging="360"/>
      </w:pPr>
      <w:rPr>
        <w:rFonts w:ascii="Wingdings" w:hAnsi="Wingdings" w:hint="default"/>
      </w:rPr>
    </w:lvl>
    <w:lvl w:ilvl="3" w:tplc="04090001" w:tentative="1">
      <w:start w:val="1"/>
      <w:numFmt w:val="bullet"/>
      <w:lvlText w:val=""/>
      <w:lvlJc w:val="left"/>
      <w:pPr>
        <w:ind w:left="7461" w:hanging="360"/>
      </w:pPr>
      <w:rPr>
        <w:rFonts w:ascii="Symbol" w:hAnsi="Symbol" w:hint="default"/>
      </w:rPr>
    </w:lvl>
    <w:lvl w:ilvl="4" w:tplc="04090003" w:tentative="1">
      <w:start w:val="1"/>
      <w:numFmt w:val="bullet"/>
      <w:lvlText w:val="o"/>
      <w:lvlJc w:val="left"/>
      <w:pPr>
        <w:ind w:left="8181" w:hanging="360"/>
      </w:pPr>
      <w:rPr>
        <w:rFonts w:ascii="Courier New" w:hAnsi="Courier New" w:cs="Courier New" w:hint="default"/>
      </w:rPr>
    </w:lvl>
    <w:lvl w:ilvl="5" w:tplc="04090005" w:tentative="1">
      <w:start w:val="1"/>
      <w:numFmt w:val="bullet"/>
      <w:lvlText w:val=""/>
      <w:lvlJc w:val="left"/>
      <w:pPr>
        <w:ind w:left="8901" w:hanging="360"/>
      </w:pPr>
      <w:rPr>
        <w:rFonts w:ascii="Wingdings" w:hAnsi="Wingdings" w:hint="default"/>
      </w:rPr>
    </w:lvl>
    <w:lvl w:ilvl="6" w:tplc="04090001" w:tentative="1">
      <w:start w:val="1"/>
      <w:numFmt w:val="bullet"/>
      <w:lvlText w:val=""/>
      <w:lvlJc w:val="left"/>
      <w:pPr>
        <w:ind w:left="9621" w:hanging="360"/>
      </w:pPr>
      <w:rPr>
        <w:rFonts w:ascii="Symbol" w:hAnsi="Symbol" w:hint="default"/>
      </w:rPr>
    </w:lvl>
    <w:lvl w:ilvl="7" w:tplc="04090003" w:tentative="1">
      <w:start w:val="1"/>
      <w:numFmt w:val="bullet"/>
      <w:lvlText w:val="o"/>
      <w:lvlJc w:val="left"/>
      <w:pPr>
        <w:ind w:left="10341" w:hanging="360"/>
      </w:pPr>
      <w:rPr>
        <w:rFonts w:ascii="Courier New" w:hAnsi="Courier New" w:cs="Courier New" w:hint="default"/>
      </w:rPr>
    </w:lvl>
    <w:lvl w:ilvl="8" w:tplc="04090005" w:tentative="1">
      <w:start w:val="1"/>
      <w:numFmt w:val="bullet"/>
      <w:lvlText w:val=""/>
      <w:lvlJc w:val="left"/>
      <w:pPr>
        <w:ind w:left="11061" w:hanging="360"/>
      </w:pPr>
      <w:rPr>
        <w:rFonts w:ascii="Wingdings" w:hAnsi="Wingdings" w:hint="default"/>
      </w:rPr>
    </w:lvl>
  </w:abstractNum>
  <w:abstractNum w:abstractNumId="13" w15:restartNumberingAfterBreak="0">
    <w:nsid w:val="2BF3490C"/>
    <w:multiLevelType w:val="hybridMultilevel"/>
    <w:tmpl w:val="47224B58"/>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F3E4A"/>
    <w:multiLevelType w:val="hybridMultilevel"/>
    <w:tmpl w:val="97BA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E45CD3"/>
    <w:multiLevelType w:val="hybridMultilevel"/>
    <w:tmpl w:val="B7C44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A38D2"/>
    <w:multiLevelType w:val="hybridMultilevel"/>
    <w:tmpl w:val="0B32D892"/>
    <w:lvl w:ilvl="0" w:tplc="3F5870D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84CF8"/>
    <w:multiLevelType w:val="hybridMultilevel"/>
    <w:tmpl w:val="2EAE2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9549C4"/>
    <w:multiLevelType w:val="hybridMultilevel"/>
    <w:tmpl w:val="926E140C"/>
    <w:lvl w:ilvl="0" w:tplc="D9E0F3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202DD"/>
    <w:multiLevelType w:val="hybridMultilevel"/>
    <w:tmpl w:val="EB84B808"/>
    <w:lvl w:ilvl="0" w:tplc="38626082">
      <w:start w:val="2"/>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A07F3B"/>
    <w:multiLevelType w:val="hybridMultilevel"/>
    <w:tmpl w:val="8700B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7CA2D99"/>
    <w:multiLevelType w:val="hybridMultilevel"/>
    <w:tmpl w:val="0D3C1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7B341F"/>
    <w:multiLevelType w:val="hybridMultilevel"/>
    <w:tmpl w:val="90F80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B1391B"/>
    <w:multiLevelType w:val="hybridMultilevel"/>
    <w:tmpl w:val="8EFCF73E"/>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C12BF3"/>
    <w:multiLevelType w:val="hybridMultilevel"/>
    <w:tmpl w:val="9E720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976655"/>
    <w:multiLevelType w:val="hybridMultilevel"/>
    <w:tmpl w:val="31226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85FC1"/>
    <w:multiLevelType w:val="hybridMultilevel"/>
    <w:tmpl w:val="93F00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22"/>
  </w:num>
  <w:num w:numId="4">
    <w:abstractNumId w:val="8"/>
  </w:num>
  <w:num w:numId="5">
    <w:abstractNumId w:val="27"/>
  </w:num>
  <w:num w:numId="6">
    <w:abstractNumId w:val="11"/>
  </w:num>
  <w:num w:numId="7">
    <w:abstractNumId w:val="4"/>
  </w:num>
  <w:num w:numId="8">
    <w:abstractNumId w:val="1"/>
  </w:num>
  <w:num w:numId="9">
    <w:abstractNumId w:val="20"/>
  </w:num>
  <w:num w:numId="10">
    <w:abstractNumId w:val="0"/>
  </w:num>
  <w:num w:numId="11">
    <w:abstractNumId w:val="7"/>
  </w:num>
  <w:num w:numId="12">
    <w:abstractNumId w:val="30"/>
  </w:num>
  <w:num w:numId="13">
    <w:abstractNumId w:val="3"/>
  </w:num>
  <w:num w:numId="14">
    <w:abstractNumId w:val="2"/>
  </w:num>
  <w:num w:numId="15">
    <w:abstractNumId w:val="35"/>
  </w:num>
  <w:num w:numId="16">
    <w:abstractNumId w:val="5"/>
  </w:num>
  <w:num w:numId="17">
    <w:abstractNumId w:val="25"/>
  </w:num>
  <w:num w:numId="18">
    <w:abstractNumId w:val="9"/>
  </w:num>
  <w:num w:numId="19">
    <w:abstractNumId w:val="26"/>
  </w:num>
  <w:num w:numId="20">
    <w:abstractNumId w:val="31"/>
  </w:num>
  <w:num w:numId="21">
    <w:abstractNumId w:val="14"/>
  </w:num>
  <w:num w:numId="22">
    <w:abstractNumId w:val="38"/>
  </w:num>
  <w:num w:numId="23">
    <w:abstractNumId w:val="15"/>
  </w:num>
  <w:num w:numId="24">
    <w:abstractNumId w:val="3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6"/>
  </w:num>
  <w:num w:numId="28">
    <w:abstractNumId w:val="28"/>
  </w:num>
  <w:num w:numId="29">
    <w:abstractNumId w:val="23"/>
  </w:num>
  <w:num w:numId="30">
    <w:abstractNumId w:val="12"/>
  </w:num>
  <w:num w:numId="31">
    <w:abstractNumId w:val="10"/>
  </w:num>
  <w:num w:numId="32">
    <w:abstractNumId w:val="21"/>
  </w:num>
  <w:num w:numId="33">
    <w:abstractNumId w:val="19"/>
  </w:num>
  <w:num w:numId="34">
    <w:abstractNumId w:val="32"/>
  </w:num>
  <w:num w:numId="35">
    <w:abstractNumId w:val="13"/>
  </w:num>
  <w:num w:numId="36">
    <w:abstractNumId w:val="33"/>
  </w:num>
  <w:num w:numId="37">
    <w:abstractNumId w:val="24"/>
  </w:num>
  <w:num w:numId="38">
    <w:abstractNumId w:val="6"/>
  </w:num>
  <w:num w:numId="39">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45"/>
  <w:drawingGridVerticalSpacing w:val="45"/>
  <w:displayHorizontalDrawingGridEvery w:val="4"/>
  <w:displayVerticalDrawingGridEvery w:val="4"/>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64AC"/>
    <w:rsid w:val="00010160"/>
    <w:rsid w:val="00021514"/>
    <w:rsid w:val="00041C17"/>
    <w:rsid w:val="00042F39"/>
    <w:rsid w:val="00045655"/>
    <w:rsid w:val="00055B93"/>
    <w:rsid w:val="00064FF5"/>
    <w:rsid w:val="00074926"/>
    <w:rsid w:val="00090E18"/>
    <w:rsid w:val="000A4D1B"/>
    <w:rsid w:val="000C1CD5"/>
    <w:rsid w:val="000D21FF"/>
    <w:rsid w:val="000D2439"/>
    <w:rsid w:val="000E3276"/>
    <w:rsid w:val="0011313E"/>
    <w:rsid w:val="0011353F"/>
    <w:rsid w:val="0012497A"/>
    <w:rsid w:val="001256D6"/>
    <w:rsid w:val="00146F73"/>
    <w:rsid w:val="00147AA0"/>
    <w:rsid w:val="001A0622"/>
    <w:rsid w:val="001A56CB"/>
    <w:rsid w:val="001B0657"/>
    <w:rsid w:val="001B16B7"/>
    <w:rsid w:val="001B4CF9"/>
    <w:rsid w:val="001B5E0E"/>
    <w:rsid w:val="001C0612"/>
    <w:rsid w:val="001C467A"/>
    <w:rsid w:val="001F4C60"/>
    <w:rsid w:val="00207C7C"/>
    <w:rsid w:val="00216F8A"/>
    <w:rsid w:val="002327BC"/>
    <w:rsid w:val="002442EC"/>
    <w:rsid w:val="002622AF"/>
    <w:rsid w:val="00263346"/>
    <w:rsid w:val="00271D28"/>
    <w:rsid w:val="00271F55"/>
    <w:rsid w:val="0027219C"/>
    <w:rsid w:val="002838DB"/>
    <w:rsid w:val="00286A3D"/>
    <w:rsid w:val="00292CF9"/>
    <w:rsid w:val="00295CDA"/>
    <w:rsid w:val="00295D4C"/>
    <w:rsid w:val="002A5333"/>
    <w:rsid w:val="002B5BDF"/>
    <w:rsid w:val="002B6F16"/>
    <w:rsid w:val="002C6F29"/>
    <w:rsid w:val="002E2219"/>
    <w:rsid w:val="00300392"/>
    <w:rsid w:val="00304C7E"/>
    <w:rsid w:val="00305075"/>
    <w:rsid w:val="00315AE2"/>
    <w:rsid w:val="00317E53"/>
    <w:rsid w:val="00321189"/>
    <w:rsid w:val="00323A5B"/>
    <w:rsid w:val="00326165"/>
    <w:rsid w:val="00331572"/>
    <w:rsid w:val="003328E7"/>
    <w:rsid w:val="003357FE"/>
    <w:rsid w:val="0033744E"/>
    <w:rsid w:val="00342CBB"/>
    <w:rsid w:val="0034424F"/>
    <w:rsid w:val="00360B15"/>
    <w:rsid w:val="00374332"/>
    <w:rsid w:val="00384979"/>
    <w:rsid w:val="00391C1B"/>
    <w:rsid w:val="003B0F95"/>
    <w:rsid w:val="003B7BB1"/>
    <w:rsid w:val="003B7E45"/>
    <w:rsid w:val="003C1390"/>
    <w:rsid w:val="003C3C7D"/>
    <w:rsid w:val="003C66A2"/>
    <w:rsid w:val="003D1D6C"/>
    <w:rsid w:val="00413977"/>
    <w:rsid w:val="00444281"/>
    <w:rsid w:val="004443C6"/>
    <w:rsid w:val="00446058"/>
    <w:rsid w:val="004465C3"/>
    <w:rsid w:val="0045764A"/>
    <w:rsid w:val="0046012B"/>
    <w:rsid w:val="00485182"/>
    <w:rsid w:val="004932F6"/>
    <w:rsid w:val="004A3B2B"/>
    <w:rsid w:val="004A7367"/>
    <w:rsid w:val="004C4164"/>
    <w:rsid w:val="004C68E9"/>
    <w:rsid w:val="004D3FF6"/>
    <w:rsid w:val="004D56EC"/>
    <w:rsid w:val="004E74AC"/>
    <w:rsid w:val="004E78F2"/>
    <w:rsid w:val="00525467"/>
    <w:rsid w:val="00527885"/>
    <w:rsid w:val="00532096"/>
    <w:rsid w:val="0054098D"/>
    <w:rsid w:val="00551474"/>
    <w:rsid w:val="005531BF"/>
    <w:rsid w:val="005612B8"/>
    <w:rsid w:val="0056236A"/>
    <w:rsid w:val="00571DC0"/>
    <w:rsid w:val="00580ABA"/>
    <w:rsid w:val="005A5993"/>
    <w:rsid w:val="005A7E84"/>
    <w:rsid w:val="005C240D"/>
    <w:rsid w:val="005C689D"/>
    <w:rsid w:val="005C75F3"/>
    <w:rsid w:val="005E3166"/>
    <w:rsid w:val="005F0B7A"/>
    <w:rsid w:val="005F358F"/>
    <w:rsid w:val="00607859"/>
    <w:rsid w:val="00612213"/>
    <w:rsid w:val="006205AD"/>
    <w:rsid w:val="00622EDB"/>
    <w:rsid w:val="006257A2"/>
    <w:rsid w:val="0063009F"/>
    <w:rsid w:val="006312FF"/>
    <w:rsid w:val="006346E4"/>
    <w:rsid w:val="00634CB1"/>
    <w:rsid w:val="00652EB2"/>
    <w:rsid w:val="00653572"/>
    <w:rsid w:val="00660E1B"/>
    <w:rsid w:val="00665F46"/>
    <w:rsid w:val="0067466A"/>
    <w:rsid w:val="00683676"/>
    <w:rsid w:val="006A1D74"/>
    <w:rsid w:val="006B65DF"/>
    <w:rsid w:val="006B7490"/>
    <w:rsid w:val="006C113D"/>
    <w:rsid w:val="006C2A2B"/>
    <w:rsid w:val="006D0EAA"/>
    <w:rsid w:val="006D3F0D"/>
    <w:rsid w:val="006D5639"/>
    <w:rsid w:val="006F378C"/>
    <w:rsid w:val="00702434"/>
    <w:rsid w:val="007112A9"/>
    <w:rsid w:val="007268A3"/>
    <w:rsid w:val="00736356"/>
    <w:rsid w:val="007560EA"/>
    <w:rsid w:val="007627D8"/>
    <w:rsid w:val="00767B16"/>
    <w:rsid w:val="007823E3"/>
    <w:rsid w:val="00793E69"/>
    <w:rsid w:val="007976AC"/>
    <w:rsid w:val="00797A81"/>
    <w:rsid w:val="007A0C9E"/>
    <w:rsid w:val="007B52C4"/>
    <w:rsid w:val="007B5EC5"/>
    <w:rsid w:val="007D7DBC"/>
    <w:rsid w:val="007E1797"/>
    <w:rsid w:val="007E423C"/>
    <w:rsid w:val="007E5F60"/>
    <w:rsid w:val="007F1CD0"/>
    <w:rsid w:val="0080203A"/>
    <w:rsid w:val="00834474"/>
    <w:rsid w:val="008412C8"/>
    <w:rsid w:val="00843EAA"/>
    <w:rsid w:val="00843FE7"/>
    <w:rsid w:val="0085109C"/>
    <w:rsid w:val="008558B4"/>
    <w:rsid w:val="00856712"/>
    <w:rsid w:val="0085705C"/>
    <w:rsid w:val="00870C11"/>
    <w:rsid w:val="00892AB6"/>
    <w:rsid w:val="008A1F90"/>
    <w:rsid w:val="008A2797"/>
    <w:rsid w:val="008B161F"/>
    <w:rsid w:val="008E0241"/>
    <w:rsid w:val="008F0542"/>
    <w:rsid w:val="0090032D"/>
    <w:rsid w:val="00906D85"/>
    <w:rsid w:val="009219A2"/>
    <w:rsid w:val="009661A9"/>
    <w:rsid w:val="009712AB"/>
    <w:rsid w:val="00983987"/>
    <w:rsid w:val="0098512B"/>
    <w:rsid w:val="009851C9"/>
    <w:rsid w:val="00986F22"/>
    <w:rsid w:val="00993EB1"/>
    <w:rsid w:val="00994499"/>
    <w:rsid w:val="009B0461"/>
    <w:rsid w:val="009B7AE3"/>
    <w:rsid w:val="009C52D8"/>
    <w:rsid w:val="009E059E"/>
    <w:rsid w:val="009E1DC2"/>
    <w:rsid w:val="00A02888"/>
    <w:rsid w:val="00A06782"/>
    <w:rsid w:val="00A10BB6"/>
    <w:rsid w:val="00A13BDB"/>
    <w:rsid w:val="00A15637"/>
    <w:rsid w:val="00A20BF2"/>
    <w:rsid w:val="00A37BF4"/>
    <w:rsid w:val="00A60961"/>
    <w:rsid w:val="00A74D54"/>
    <w:rsid w:val="00A9091B"/>
    <w:rsid w:val="00AA2D9D"/>
    <w:rsid w:val="00AD1DE4"/>
    <w:rsid w:val="00AD253E"/>
    <w:rsid w:val="00AD2BE8"/>
    <w:rsid w:val="00AE295E"/>
    <w:rsid w:val="00AE6047"/>
    <w:rsid w:val="00AE6711"/>
    <w:rsid w:val="00AF60A5"/>
    <w:rsid w:val="00B04285"/>
    <w:rsid w:val="00B16F29"/>
    <w:rsid w:val="00B171EE"/>
    <w:rsid w:val="00B34846"/>
    <w:rsid w:val="00B36B3E"/>
    <w:rsid w:val="00B43088"/>
    <w:rsid w:val="00B465DA"/>
    <w:rsid w:val="00B50179"/>
    <w:rsid w:val="00B539E3"/>
    <w:rsid w:val="00B63DC3"/>
    <w:rsid w:val="00B6504E"/>
    <w:rsid w:val="00B827F3"/>
    <w:rsid w:val="00B874C1"/>
    <w:rsid w:val="00BB087B"/>
    <w:rsid w:val="00BD2D7A"/>
    <w:rsid w:val="00C07F9F"/>
    <w:rsid w:val="00C31121"/>
    <w:rsid w:val="00C50C75"/>
    <w:rsid w:val="00C5204E"/>
    <w:rsid w:val="00C5624E"/>
    <w:rsid w:val="00C8046B"/>
    <w:rsid w:val="00CA0700"/>
    <w:rsid w:val="00CA279F"/>
    <w:rsid w:val="00CB1FC8"/>
    <w:rsid w:val="00CB42F1"/>
    <w:rsid w:val="00CB4CA8"/>
    <w:rsid w:val="00CB6907"/>
    <w:rsid w:val="00CC608C"/>
    <w:rsid w:val="00CC6E7B"/>
    <w:rsid w:val="00CE10DE"/>
    <w:rsid w:val="00CF5174"/>
    <w:rsid w:val="00D07C40"/>
    <w:rsid w:val="00D378E6"/>
    <w:rsid w:val="00D40B14"/>
    <w:rsid w:val="00D550D7"/>
    <w:rsid w:val="00D80E86"/>
    <w:rsid w:val="00DA23C7"/>
    <w:rsid w:val="00DC28B9"/>
    <w:rsid w:val="00DC7653"/>
    <w:rsid w:val="00DF325C"/>
    <w:rsid w:val="00E063CC"/>
    <w:rsid w:val="00E15C02"/>
    <w:rsid w:val="00E30990"/>
    <w:rsid w:val="00E351E4"/>
    <w:rsid w:val="00E53B35"/>
    <w:rsid w:val="00E558E4"/>
    <w:rsid w:val="00E601B7"/>
    <w:rsid w:val="00E72BF5"/>
    <w:rsid w:val="00E83D24"/>
    <w:rsid w:val="00E85568"/>
    <w:rsid w:val="00E86FED"/>
    <w:rsid w:val="00E97A46"/>
    <w:rsid w:val="00EB0688"/>
    <w:rsid w:val="00EB2993"/>
    <w:rsid w:val="00EC5B09"/>
    <w:rsid w:val="00EC7B4D"/>
    <w:rsid w:val="00ED0A02"/>
    <w:rsid w:val="00EF385B"/>
    <w:rsid w:val="00F322A9"/>
    <w:rsid w:val="00F401B1"/>
    <w:rsid w:val="00F52859"/>
    <w:rsid w:val="00F819BA"/>
    <w:rsid w:val="00F95C54"/>
    <w:rsid w:val="00FA622F"/>
    <w:rsid w:val="00FB6FAF"/>
    <w:rsid w:val="00FC2894"/>
    <w:rsid w:val="00FC43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E5C0E7-89ED-4C85-8C48-26B2F747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E1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cs="Segoe UI"/>
      <w:sz w:val="18"/>
      <w:szCs w:val="18"/>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styleId="Revision">
    <w:name w:val="Revision"/>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B5EC5"/>
    <w:pPr>
      <w:ind w:leftChars="400" w:left="840" w:hanging="720"/>
    </w:pPr>
    <w:rPr>
      <w:rFonts w:ascii="Times" w:eastAsia="Batang" w:hAnsi="Times"/>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paragraph" w:customStyle="1" w:styleId="B2">
    <w:name w:val="B2"/>
    <w:basedOn w:val="List2"/>
    <w:rsid w:val="00A60961"/>
    <w:pPr>
      <w:spacing w:after="180"/>
      <w:ind w:left="851" w:hanging="284"/>
      <w:contextualSpacing w:val="0"/>
    </w:pPr>
    <w:rPr>
      <w:rFonts w:eastAsia="Times New Roman"/>
      <w:sz w:val="20"/>
    </w:rPr>
  </w:style>
  <w:style w:type="paragraph" w:styleId="List2">
    <w:name w:val="List 2"/>
    <w:basedOn w:val="Normal"/>
    <w:uiPriority w:val="99"/>
    <w:semiHidden/>
    <w:unhideWhenUsed/>
    <w:rsid w:val="00A60961"/>
    <w:pPr>
      <w:ind w:left="566" w:hanging="283"/>
      <w:contextualSpacing/>
    </w:pPr>
  </w:style>
  <w:style w:type="table" w:styleId="TableGrid">
    <w:name w:val="Table Grid"/>
    <w:basedOn w:val="TableNormal"/>
    <w:uiPriority w:val="39"/>
    <w:rsid w:val="00B36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44605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446058"/>
    <w:rPr>
      <w:rFonts w:eastAsia="Times New Roman"/>
      <w:b/>
      <w:bCs/>
      <w:lang w:eastAsia="zh-CN"/>
    </w:rPr>
  </w:style>
  <w:style w:type="character" w:styleId="PlaceholderText">
    <w:name w:val="Placeholder Text"/>
    <w:basedOn w:val="DefaultParagraphFont"/>
    <w:uiPriority w:val="99"/>
    <w:semiHidden/>
    <w:rsid w:val="00E83D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4762">
      <w:bodyDiv w:val="1"/>
      <w:marLeft w:val="0"/>
      <w:marRight w:val="0"/>
      <w:marTop w:val="0"/>
      <w:marBottom w:val="0"/>
      <w:divBdr>
        <w:top w:val="none" w:sz="0" w:space="0" w:color="auto"/>
        <w:left w:val="none" w:sz="0" w:space="0" w:color="auto"/>
        <w:bottom w:val="none" w:sz="0" w:space="0" w:color="auto"/>
        <w:right w:val="none" w:sz="0" w:space="0" w:color="auto"/>
      </w:divBdr>
    </w:div>
    <w:div w:id="152570337">
      <w:bodyDiv w:val="1"/>
      <w:marLeft w:val="0"/>
      <w:marRight w:val="0"/>
      <w:marTop w:val="0"/>
      <w:marBottom w:val="0"/>
      <w:divBdr>
        <w:top w:val="none" w:sz="0" w:space="0" w:color="auto"/>
        <w:left w:val="none" w:sz="0" w:space="0" w:color="auto"/>
        <w:bottom w:val="none" w:sz="0" w:space="0" w:color="auto"/>
        <w:right w:val="none" w:sz="0" w:space="0" w:color="auto"/>
      </w:divBdr>
    </w:div>
    <w:div w:id="147942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FA3D0-2E55-4F1C-85B4-A692CA5F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5</cp:revision>
  <cp:lastPrinted>2002-04-23T09:10:00Z</cp:lastPrinted>
  <dcterms:created xsi:type="dcterms:W3CDTF">2018-11-02T23:57:00Z</dcterms:created>
  <dcterms:modified xsi:type="dcterms:W3CDTF">2018-11-03T00:19:00Z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